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5B4" w:rsidRPr="002A6B93" w:rsidRDefault="000545B4" w:rsidP="002A6B93">
      <w:pPr>
        <w:spacing w:line="480" w:lineRule="auto"/>
        <w:jc w:val="center"/>
        <w:rPr>
          <w:rFonts w:ascii="Times New Roman" w:eastAsia="Times New Roman" w:hAnsi="Times New Roman" w:cs="Times New Roman"/>
          <w:sz w:val="24"/>
          <w:szCs w:val="24"/>
        </w:rPr>
      </w:pPr>
    </w:p>
    <w:p w:rsidR="000545B4" w:rsidRPr="002A6B93" w:rsidRDefault="000545B4" w:rsidP="002A6B93">
      <w:pPr>
        <w:spacing w:line="480" w:lineRule="auto"/>
        <w:jc w:val="center"/>
        <w:rPr>
          <w:rFonts w:ascii="Times New Roman" w:eastAsia="Times New Roman" w:hAnsi="Times New Roman" w:cs="Times New Roman"/>
          <w:sz w:val="24"/>
          <w:szCs w:val="24"/>
        </w:rPr>
      </w:pPr>
    </w:p>
    <w:p w:rsidR="000545B4" w:rsidRPr="002A6B93" w:rsidRDefault="000545B4" w:rsidP="002A6B93">
      <w:pPr>
        <w:spacing w:line="480" w:lineRule="auto"/>
        <w:jc w:val="center"/>
        <w:rPr>
          <w:rFonts w:ascii="Times New Roman" w:eastAsia="Times New Roman" w:hAnsi="Times New Roman" w:cs="Times New Roman"/>
          <w:sz w:val="24"/>
          <w:szCs w:val="24"/>
        </w:rPr>
      </w:pPr>
    </w:p>
    <w:p w:rsidR="000545B4" w:rsidRPr="002A6B93" w:rsidRDefault="000545B4" w:rsidP="002A6B93">
      <w:pPr>
        <w:spacing w:line="480" w:lineRule="auto"/>
        <w:jc w:val="center"/>
        <w:rPr>
          <w:rFonts w:ascii="Times New Roman" w:eastAsia="Times New Roman" w:hAnsi="Times New Roman" w:cs="Times New Roman"/>
          <w:sz w:val="24"/>
          <w:szCs w:val="24"/>
        </w:rPr>
      </w:pPr>
    </w:p>
    <w:p w:rsidR="000545B4" w:rsidRPr="002A6B93" w:rsidRDefault="000545B4" w:rsidP="002A6B93">
      <w:pPr>
        <w:spacing w:line="480" w:lineRule="auto"/>
        <w:jc w:val="center"/>
        <w:rPr>
          <w:rFonts w:ascii="Times New Roman" w:eastAsia="Times New Roman" w:hAnsi="Times New Roman" w:cs="Times New Roman"/>
          <w:sz w:val="24"/>
          <w:szCs w:val="24"/>
        </w:rPr>
      </w:pPr>
    </w:p>
    <w:p w:rsidR="000545B4" w:rsidRPr="002A6B93" w:rsidRDefault="000545B4" w:rsidP="002A6B93">
      <w:pPr>
        <w:spacing w:line="480" w:lineRule="auto"/>
        <w:jc w:val="center"/>
        <w:rPr>
          <w:rFonts w:ascii="Times New Roman" w:eastAsia="Times New Roman" w:hAnsi="Times New Roman" w:cs="Times New Roman"/>
          <w:sz w:val="24"/>
          <w:szCs w:val="24"/>
        </w:rPr>
      </w:pPr>
    </w:p>
    <w:p w:rsidR="00EB700C" w:rsidRPr="002A6B93" w:rsidRDefault="00EB700C" w:rsidP="002A6B93">
      <w:pPr>
        <w:spacing w:line="480" w:lineRule="auto"/>
        <w:jc w:val="center"/>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Decision-Making Matrix.</w:t>
      </w:r>
    </w:p>
    <w:p w:rsidR="00EB700C" w:rsidRPr="002A6B93" w:rsidRDefault="00EB700C" w:rsidP="002A6B93">
      <w:pPr>
        <w:spacing w:line="480" w:lineRule="auto"/>
        <w:jc w:val="center"/>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Name.</w:t>
      </w:r>
    </w:p>
    <w:p w:rsidR="00EB700C" w:rsidRPr="002A6B93" w:rsidRDefault="00EB700C" w:rsidP="002A6B93">
      <w:pPr>
        <w:spacing w:line="480" w:lineRule="auto"/>
        <w:jc w:val="center"/>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Institution.</w:t>
      </w:r>
    </w:p>
    <w:p w:rsidR="00EB700C" w:rsidRPr="002A6B93" w:rsidRDefault="00EB700C" w:rsidP="002A6B93">
      <w:pPr>
        <w:spacing w:line="480" w:lineRule="auto"/>
        <w:jc w:val="center"/>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Date.</w:t>
      </w:r>
    </w:p>
    <w:p w:rsidR="001F70D6" w:rsidRPr="002A6B93" w:rsidRDefault="001F70D6" w:rsidP="002A6B93">
      <w:pPr>
        <w:spacing w:line="480" w:lineRule="auto"/>
        <w:jc w:val="center"/>
        <w:rPr>
          <w:rFonts w:ascii="Times New Roman" w:eastAsia="Times New Roman" w:hAnsi="Times New Roman" w:cs="Times New Roman"/>
          <w:sz w:val="24"/>
          <w:szCs w:val="24"/>
        </w:rPr>
      </w:pPr>
    </w:p>
    <w:p w:rsidR="001F70D6" w:rsidRPr="002A6B93" w:rsidRDefault="001F70D6" w:rsidP="002A6B93">
      <w:pPr>
        <w:spacing w:line="480" w:lineRule="auto"/>
        <w:jc w:val="center"/>
        <w:rPr>
          <w:rFonts w:ascii="Times New Roman" w:eastAsia="Times New Roman" w:hAnsi="Times New Roman" w:cs="Times New Roman"/>
          <w:sz w:val="24"/>
          <w:szCs w:val="24"/>
        </w:rPr>
      </w:pPr>
    </w:p>
    <w:p w:rsidR="001F70D6" w:rsidRPr="002A6B93" w:rsidRDefault="001F70D6" w:rsidP="002A6B93">
      <w:pPr>
        <w:spacing w:line="480" w:lineRule="auto"/>
        <w:jc w:val="center"/>
        <w:rPr>
          <w:rFonts w:ascii="Times New Roman" w:eastAsia="Times New Roman" w:hAnsi="Times New Roman" w:cs="Times New Roman"/>
          <w:sz w:val="24"/>
          <w:szCs w:val="24"/>
        </w:rPr>
      </w:pPr>
    </w:p>
    <w:p w:rsidR="001F70D6" w:rsidRPr="002A6B93" w:rsidRDefault="001F70D6" w:rsidP="002A6B93">
      <w:pPr>
        <w:spacing w:line="480" w:lineRule="auto"/>
        <w:jc w:val="center"/>
        <w:rPr>
          <w:rFonts w:ascii="Times New Roman" w:eastAsia="Times New Roman" w:hAnsi="Times New Roman" w:cs="Times New Roman"/>
          <w:sz w:val="24"/>
          <w:szCs w:val="24"/>
        </w:rPr>
      </w:pPr>
    </w:p>
    <w:p w:rsidR="001F70D6" w:rsidRPr="002A6B93" w:rsidRDefault="001F70D6" w:rsidP="002A6B93">
      <w:pPr>
        <w:spacing w:line="480" w:lineRule="auto"/>
        <w:jc w:val="center"/>
        <w:rPr>
          <w:rFonts w:ascii="Times New Roman" w:eastAsia="Times New Roman" w:hAnsi="Times New Roman" w:cs="Times New Roman"/>
          <w:sz w:val="24"/>
          <w:szCs w:val="24"/>
        </w:rPr>
      </w:pPr>
    </w:p>
    <w:p w:rsidR="001F70D6" w:rsidRPr="002A6B93" w:rsidRDefault="001F70D6" w:rsidP="002A6B93">
      <w:pPr>
        <w:spacing w:line="480" w:lineRule="auto"/>
        <w:jc w:val="center"/>
        <w:rPr>
          <w:rFonts w:ascii="Times New Roman" w:eastAsia="Times New Roman" w:hAnsi="Times New Roman" w:cs="Times New Roman"/>
          <w:sz w:val="24"/>
          <w:szCs w:val="24"/>
        </w:rPr>
      </w:pPr>
    </w:p>
    <w:p w:rsidR="001F70D6" w:rsidRPr="002A6B93" w:rsidRDefault="001F70D6" w:rsidP="002A6B93">
      <w:pPr>
        <w:spacing w:line="480" w:lineRule="auto"/>
        <w:jc w:val="center"/>
        <w:rPr>
          <w:rFonts w:ascii="Times New Roman" w:eastAsia="Times New Roman" w:hAnsi="Times New Roman" w:cs="Times New Roman"/>
          <w:sz w:val="24"/>
          <w:szCs w:val="24"/>
        </w:rPr>
      </w:pPr>
    </w:p>
    <w:p w:rsidR="001F70D6" w:rsidRPr="002A6B93" w:rsidRDefault="001F70D6" w:rsidP="002A6B93">
      <w:pPr>
        <w:spacing w:line="480" w:lineRule="auto"/>
        <w:jc w:val="center"/>
        <w:rPr>
          <w:rFonts w:ascii="Times New Roman" w:eastAsia="Times New Roman" w:hAnsi="Times New Roman" w:cs="Times New Roman"/>
          <w:sz w:val="24"/>
          <w:szCs w:val="24"/>
        </w:rPr>
      </w:pPr>
    </w:p>
    <w:p w:rsidR="00EB700C" w:rsidRPr="002A6B93" w:rsidRDefault="00EB700C" w:rsidP="002A6B93">
      <w:pPr>
        <w:spacing w:line="480" w:lineRule="auto"/>
        <w:jc w:val="center"/>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lastRenderedPageBreak/>
        <w:t>Decision-Making Matrix.</w:t>
      </w:r>
    </w:p>
    <w:p w:rsidR="002A6B93" w:rsidRPr="0085163D" w:rsidRDefault="002A6B93" w:rsidP="002A6B93">
      <w:pPr>
        <w:spacing w:line="480" w:lineRule="auto"/>
        <w:jc w:val="center"/>
        <w:rPr>
          <w:rFonts w:ascii="Times New Roman" w:eastAsia="Times New Roman" w:hAnsi="Times New Roman" w:cs="Times New Roman"/>
          <w:b/>
          <w:sz w:val="24"/>
          <w:szCs w:val="24"/>
        </w:rPr>
      </w:pPr>
      <w:r w:rsidRPr="0085163D">
        <w:rPr>
          <w:rFonts w:ascii="Times New Roman" w:eastAsia="Times New Roman" w:hAnsi="Times New Roman" w:cs="Times New Roman"/>
          <w:b/>
          <w:sz w:val="24"/>
          <w:szCs w:val="24"/>
        </w:rPr>
        <w:t>The Decision.</w:t>
      </w:r>
    </w:p>
    <w:p w:rsidR="002A6B93" w:rsidRPr="002A6B93" w:rsidRDefault="002A6B93" w:rsidP="002A6B93">
      <w:pPr>
        <w:spacing w:line="480" w:lineRule="auto"/>
        <w:ind w:firstLine="720"/>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One of the core decisions that I must make for my organization in the face of several options is when setting a new contract for ICT supplier in the organization. It is not always simple to come up with the right choice within many IT suppliers, more so in settings where a specific package of requirements is available, and a variety of factors needs to be considered. In this decision, I have to consider different requirements before choosing from different suppliers (Mousavi &amp; Gigerenzer, 2016).</w:t>
      </w:r>
    </w:p>
    <w:p w:rsidR="002A6B93" w:rsidRPr="0085163D" w:rsidRDefault="002A6B93" w:rsidP="002A6B93">
      <w:pPr>
        <w:spacing w:line="480" w:lineRule="auto"/>
        <w:ind w:firstLine="720"/>
        <w:jc w:val="center"/>
        <w:rPr>
          <w:rFonts w:ascii="Times New Roman" w:eastAsia="Times New Roman" w:hAnsi="Times New Roman" w:cs="Times New Roman"/>
          <w:b/>
          <w:sz w:val="24"/>
          <w:szCs w:val="24"/>
        </w:rPr>
      </w:pPr>
      <w:r w:rsidRPr="0085163D">
        <w:rPr>
          <w:rFonts w:ascii="Times New Roman" w:eastAsia="Times New Roman" w:hAnsi="Times New Roman" w:cs="Times New Roman"/>
          <w:b/>
          <w:sz w:val="24"/>
          <w:szCs w:val="24"/>
        </w:rPr>
        <w:t>Application of the Decision Matrix Tool.</w:t>
      </w:r>
    </w:p>
    <w:p w:rsidR="002A6B93" w:rsidRPr="002A6B93" w:rsidRDefault="002A6B93" w:rsidP="002A6B93">
      <w:pPr>
        <w:spacing w:line="480" w:lineRule="auto"/>
        <w:ind w:firstLine="720"/>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The decision matrix plays an important role in the decision making approach via evaluating the different options at hand one by one (Del Campo et al., 2016). Although this decision-making approach sounds complex, it is often simple when the decision matrix is suitably applied in step by step mechanism. The most appropriate options to consider in outsourcing the IT supplier include the cost, quality, location, reliability, and the payment option (Mousavi &amp; Gigerenzer, 2016). The next step is scoring each option for each of the factors in the decision. The score should range from 0 (poor) to 5 (very good) as follows. </w:t>
      </w:r>
    </w:p>
    <w:p w:rsidR="002A6B93" w:rsidRPr="002A6B93" w:rsidRDefault="002A6B93" w:rsidP="0085163D">
      <w:pPr>
        <w:spacing w:line="480" w:lineRule="auto"/>
        <w:ind w:firstLine="720"/>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Outsourcing IT supplier using decision matrix analysis showing a weighted assessment of how each supplier satisfies each factor.</w:t>
      </w:r>
    </w:p>
    <w:tbl>
      <w:tblPr>
        <w:tblStyle w:val="TableGrid"/>
        <w:tblW w:w="0" w:type="auto"/>
        <w:jc w:val="center"/>
        <w:tblLook w:val="04A0"/>
      </w:tblPr>
      <w:tblGrid>
        <w:gridCol w:w="1440"/>
        <w:gridCol w:w="1157"/>
        <w:gridCol w:w="1163"/>
        <w:gridCol w:w="1166"/>
        <w:gridCol w:w="1230"/>
        <w:gridCol w:w="1166"/>
        <w:gridCol w:w="1158"/>
      </w:tblGrid>
      <w:tr w:rsidR="00FE2364" w:rsidRPr="002A6B93" w:rsidTr="002A6B93">
        <w:trPr>
          <w:jc w:val="center"/>
        </w:trPr>
        <w:tc>
          <w:tcPr>
            <w:tcW w:w="144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Factors </w:t>
            </w:r>
          </w:p>
        </w:tc>
        <w:tc>
          <w:tcPr>
            <w:tcW w:w="1157"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Costs</w:t>
            </w:r>
          </w:p>
        </w:tc>
        <w:tc>
          <w:tcPr>
            <w:tcW w:w="1163"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Quality</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Location </w:t>
            </w:r>
          </w:p>
        </w:tc>
        <w:tc>
          <w:tcPr>
            <w:tcW w:w="123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Reliability </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Payment option </w:t>
            </w:r>
          </w:p>
        </w:tc>
        <w:tc>
          <w:tcPr>
            <w:tcW w:w="1158"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Total </w:t>
            </w:r>
          </w:p>
        </w:tc>
      </w:tr>
      <w:tr w:rsidR="00FE2364" w:rsidRPr="002A6B93" w:rsidTr="002A6B93">
        <w:trPr>
          <w:jc w:val="center"/>
        </w:trPr>
        <w:tc>
          <w:tcPr>
            <w:tcW w:w="144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Weights </w:t>
            </w:r>
          </w:p>
        </w:tc>
        <w:tc>
          <w:tcPr>
            <w:tcW w:w="1157"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4</w:t>
            </w:r>
          </w:p>
        </w:tc>
        <w:tc>
          <w:tcPr>
            <w:tcW w:w="1163"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5</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1</w:t>
            </w:r>
          </w:p>
        </w:tc>
        <w:tc>
          <w:tcPr>
            <w:tcW w:w="123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2</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3</w:t>
            </w:r>
          </w:p>
        </w:tc>
        <w:tc>
          <w:tcPr>
            <w:tcW w:w="1158" w:type="dxa"/>
          </w:tcPr>
          <w:p w:rsidR="00FE2364" w:rsidRPr="002A6B93" w:rsidRDefault="00FE2364" w:rsidP="002A6B93">
            <w:pPr>
              <w:spacing w:line="480" w:lineRule="auto"/>
              <w:rPr>
                <w:rFonts w:ascii="Times New Roman" w:eastAsia="Times New Roman" w:hAnsi="Times New Roman" w:cs="Times New Roman"/>
                <w:sz w:val="24"/>
                <w:szCs w:val="24"/>
              </w:rPr>
            </w:pPr>
          </w:p>
        </w:tc>
      </w:tr>
      <w:tr w:rsidR="00FE2364" w:rsidRPr="002A6B93" w:rsidTr="002A6B93">
        <w:trPr>
          <w:jc w:val="center"/>
        </w:trPr>
        <w:tc>
          <w:tcPr>
            <w:tcW w:w="144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lastRenderedPageBreak/>
              <w:t>Supplier A</w:t>
            </w:r>
          </w:p>
        </w:tc>
        <w:tc>
          <w:tcPr>
            <w:tcW w:w="1157"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4</w:t>
            </w:r>
          </w:p>
        </w:tc>
        <w:tc>
          <w:tcPr>
            <w:tcW w:w="1163"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0</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0</w:t>
            </w:r>
          </w:p>
        </w:tc>
        <w:tc>
          <w:tcPr>
            <w:tcW w:w="123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2</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9</w:t>
            </w:r>
          </w:p>
        </w:tc>
        <w:tc>
          <w:tcPr>
            <w:tcW w:w="1158" w:type="dxa"/>
          </w:tcPr>
          <w:p w:rsidR="00FE2364" w:rsidRPr="002A6B93" w:rsidRDefault="00FE2364" w:rsidP="002A6B93">
            <w:pPr>
              <w:spacing w:line="480" w:lineRule="auto"/>
              <w:rPr>
                <w:rFonts w:ascii="Times New Roman" w:eastAsia="Times New Roman" w:hAnsi="Times New Roman" w:cs="Times New Roman"/>
                <w:b/>
                <w:sz w:val="24"/>
                <w:szCs w:val="24"/>
              </w:rPr>
            </w:pPr>
            <w:r w:rsidRPr="002A6B93">
              <w:rPr>
                <w:rFonts w:ascii="Times New Roman" w:eastAsia="Times New Roman" w:hAnsi="Times New Roman" w:cs="Times New Roman"/>
                <w:b/>
                <w:sz w:val="24"/>
                <w:szCs w:val="24"/>
              </w:rPr>
              <w:t>15</w:t>
            </w:r>
          </w:p>
        </w:tc>
      </w:tr>
      <w:tr w:rsidR="00FE2364" w:rsidRPr="002A6B93" w:rsidTr="002A6B93">
        <w:trPr>
          <w:jc w:val="center"/>
        </w:trPr>
        <w:tc>
          <w:tcPr>
            <w:tcW w:w="1440" w:type="dxa"/>
          </w:tcPr>
          <w:p w:rsidR="00FE2364" w:rsidRPr="002A6B93" w:rsidRDefault="00FE2364" w:rsidP="002A6B93">
            <w:pPr>
              <w:spacing w:line="480" w:lineRule="auto"/>
              <w:rPr>
                <w:rFonts w:ascii="Times New Roman" w:eastAsia="Times New Roman" w:hAnsi="Times New Roman" w:cs="Times New Roman"/>
                <w:b/>
                <w:sz w:val="24"/>
                <w:szCs w:val="24"/>
              </w:rPr>
            </w:pPr>
            <w:r w:rsidRPr="002A6B93">
              <w:rPr>
                <w:rFonts w:ascii="Times New Roman" w:eastAsia="Times New Roman" w:hAnsi="Times New Roman" w:cs="Times New Roman"/>
                <w:sz w:val="24"/>
                <w:szCs w:val="24"/>
              </w:rPr>
              <w:t>Supplier B</w:t>
            </w:r>
          </w:p>
        </w:tc>
        <w:tc>
          <w:tcPr>
            <w:tcW w:w="1157"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0</w:t>
            </w:r>
          </w:p>
        </w:tc>
        <w:tc>
          <w:tcPr>
            <w:tcW w:w="1163"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15</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2</w:t>
            </w:r>
          </w:p>
        </w:tc>
        <w:tc>
          <w:tcPr>
            <w:tcW w:w="123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4</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3</w:t>
            </w:r>
          </w:p>
        </w:tc>
        <w:tc>
          <w:tcPr>
            <w:tcW w:w="1158" w:type="dxa"/>
          </w:tcPr>
          <w:p w:rsidR="00FE2364" w:rsidRPr="002A6B93" w:rsidRDefault="00FE2364" w:rsidP="002A6B93">
            <w:pPr>
              <w:spacing w:line="480" w:lineRule="auto"/>
              <w:rPr>
                <w:rFonts w:ascii="Times New Roman" w:eastAsia="Times New Roman" w:hAnsi="Times New Roman" w:cs="Times New Roman"/>
                <w:b/>
                <w:sz w:val="24"/>
                <w:szCs w:val="24"/>
              </w:rPr>
            </w:pPr>
            <w:r w:rsidRPr="002A6B93">
              <w:rPr>
                <w:rFonts w:ascii="Times New Roman" w:eastAsia="Times New Roman" w:hAnsi="Times New Roman" w:cs="Times New Roman"/>
                <w:b/>
                <w:sz w:val="24"/>
                <w:szCs w:val="24"/>
              </w:rPr>
              <w:t>24</w:t>
            </w:r>
          </w:p>
        </w:tc>
      </w:tr>
      <w:tr w:rsidR="00FE2364" w:rsidRPr="002A6B93" w:rsidTr="002A6B93">
        <w:trPr>
          <w:jc w:val="center"/>
        </w:trPr>
        <w:tc>
          <w:tcPr>
            <w:tcW w:w="144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Supplier C</w:t>
            </w:r>
          </w:p>
        </w:tc>
        <w:tc>
          <w:tcPr>
            <w:tcW w:w="1157"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8</w:t>
            </w:r>
          </w:p>
        </w:tc>
        <w:tc>
          <w:tcPr>
            <w:tcW w:w="1163"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10</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1</w:t>
            </w:r>
          </w:p>
        </w:tc>
        <w:tc>
          <w:tcPr>
            <w:tcW w:w="123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6</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0</w:t>
            </w:r>
          </w:p>
        </w:tc>
        <w:tc>
          <w:tcPr>
            <w:tcW w:w="1158" w:type="dxa"/>
          </w:tcPr>
          <w:p w:rsidR="00FE2364" w:rsidRPr="002A6B93" w:rsidRDefault="00FE2364" w:rsidP="002A6B93">
            <w:pPr>
              <w:spacing w:line="480" w:lineRule="auto"/>
              <w:rPr>
                <w:rFonts w:ascii="Times New Roman" w:eastAsia="Times New Roman" w:hAnsi="Times New Roman" w:cs="Times New Roman"/>
                <w:b/>
                <w:sz w:val="24"/>
                <w:szCs w:val="24"/>
              </w:rPr>
            </w:pPr>
            <w:r w:rsidRPr="002A6B93">
              <w:rPr>
                <w:rFonts w:ascii="Times New Roman" w:eastAsia="Times New Roman" w:hAnsi="Times New Roman" w:cs="Times New Roman"/>
                <w:b/>
                <w:sz w:val="24"/>
                <w:szCs w:val="24"/>
              </w:rPr>
              <w:t>25</w:t>
            </w:r>
          </w:p>
        </w:tc>
      </w:tr>
      <w:tr w:rsidR="00FE2364" w:rsidRPr="002A6B93" w:rsidTr="002A6B93">
        <w:trPr>
          <w:jc w:val="center"/>
        </w:trPr>
        <w:tc>
          <w:tcPr>
            <w:tcW w:w="144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Supplier D</w:t>
            </w:r>
          </w:p>
        </w:tc>
        <w:tc>
          <w:tcPr>
            <w:tcW w:w="1157"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8</w:t>
            </w:r>
          </w:p>
        </w:tc>
        <w:tc>
          <w:tcPr>
            <w:tcW w:w="1163"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15</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3</w:t>
            </w:r>
          </w:p>
        </w:tc>
        <w:tc>
          <w:tcPr>
            <w:tcW w:w="1230"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6</w:t>
            </w:r>
          </w:p>
        </w:tc>
        <w:tc>
          <w:tcPr>
            <w:tcW w:w="1166" w:type="dxa"/>
          </w:tcPr>
          <w:p w:rsidR="00FE2364" w:rsidRPr="002A6B93" w:rsidRDefault="00FE2364" w:rsidP="002A6B93">
            <w:pPr>
              <w:spacing w:line="480" w:lineRule="auto"/>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0</w:t>
            </w:r>
          </w:p>
        </w:tc>
        <w:tc>
          <w:tcPr>
            <w:tcW w:w="1158" w:type="dxa"/>
          </w:tcPr>
          <w:p w:rsidR="00FE2364" w:rsidRPr="002A6B93" w:rsidRDefault="00FE2364" w:rsidP="002A6B93">
            <w:pPr>
              <w:spacing w:line="480" w:lineRule="auto"/>
              <w:rPr>
                <w:rFonts w:ascii="Times New Roman" w:eastAsia="Times New Roman" w:hAnsi="Times New Roman" w:cs="Times New Roman"/>
                <w:b/>
                <w:sz w:val="24"/>
                <w:szCs w:val="24"/>
              </w:rPr>
            </w:pPr>
            <w:r w:rsidRPr="002A6B93">
              <w:rPr>
                <w:rFonts w:ascii="Times New Roman" w:eastAsia="Times New Roman" w:hAnsi="Times New Roman" w:cs="Times New Roman"/>
                <w:b/>
                <w:sz w:val="24"/>
                <w:szCs w:val="24"/>
              </w:rPr>
              <w:t>32</w:t>
            </w:r>
          </w:p>
        </w:tc>
      </w:tr>
    </w:tbl>
    <w:p w:rsidR="002A6B93" w:rsidRDefault="002A6B93" w:rsidP="002A6B93">
      <w:pPr>
        <w:spacing w:line="480" w:lineRule="auto"/>
        <w:ind w:firstLine="720"/>
        <w:rPr>
          <w:rFonts w:ascii="Times New Roman" w:eastAsia="Times New Roman" w:hAnsi="Times New Roman" w:cs="Times New Roman"/>
          <w:sz w:val="24"/>
          <w:szCs w:val="24"/>
        </w:rPr>
      </w:pPr>
    </w:p>
    <w:p w:rsidR="00FE2364" w:rsidRPr="002A6B93" w:rsidRDefault="002A6B93" w:rsidP="002A6B93">
      <w:pPr>
        <w:spacing w:line="480" w:lineRule="auto"/>
        <w:ind w:firstLine="720"/>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From my analysis, supplier D is the most appropriate option for the new outsourcing IT suppliers although it lacks flexibility in the mode of payment. The suppliers meet the highest range of the majority of the factors that we value when outsourcing IT suppliers.</w:t>
      </w:r>
    </w:p>
    <w:p w:rsidR="00267814" w:rsidRPr="0085163D" w:rsidRDefault="00267814" w:rsidP="002A6B93">
      <w:pPr>
        <w:spacing w:line="480" w:lineRule="auto"/>
        <w:ind w:firstLine="720"/>
        <w:jc w:val="center"/>
        <w:rPr>
          <w:rFonts w:ascii="Times New Roman" w:eastAsia="Times New Roman" w:hAnsi="Times New Roman" w:cs="Times New Roman"/>
          <w:b/>
          <w:sz w:val="24"/>
          <w:szCs w:val="24"/>
        </w:rPr>
      </w:pPr>
      <w:r w:rsidRPr="0085163D">
        <w:rPr>
          <w:rFonts w:ascii="Times New Roman" w:eastAsia="Times New Roman" w:hAnsi="Times New Roman" w:cs="Times New Roman"/>
          <w:b/>
          <w:sz w:val="24"/>
          <w:szCs w:val="24"/>
        </w:rPr>
        <w:t xml:space="preserve">Potential </w:t>
      </w:r>
      <w:r w:rsidR="002A6B93" w:rsidRPr="0085163D">
        <w:rPr>
          <w:rFonts w:ascii="Times New Roman" w:eastAsia="Times New Roman" w:hAnsi="Times New Roman" w:cs="Times New Roman"/>
          <w:b/>
          <w:sz w:val="24"/>
          <w:szCs w:val="24"/>
        </w:rPr>
        <w:t>C</w:t>
      </w:r>
      <w:r w:rsidRPr="0085163D">
        <w:rPr>
          <w:rFonts w:ascii="Times New Roman" w:eastAsia="Times New Roman" w:hAnsi="Times New Roman" w:cs="Times New Roman"/>
          <w:b/>
          <w:sz w:val="24"/>
          <w:szCs w:val="24"/>
        </w:rPr>
        <w:t>hallenges.</w:t>
      </w:r>
    </w:p>
    <w:p w:rsidR="00267814" w:rsidRPr="002A6B93" w:rsidRDefault="00EB700C" w:rsidP="002A6B93">
      <w:pPr>
        <w:spacing w:line="480" w:lineRule="auto"/>
        <w:ind w:firstLine="720"/>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Some of the potential challenges in the decision making are that the potential participants may be conflicted amid different managers and the evident priorities. Loss of clarity is another potential challenge for professional decision making (To et al., 2018). The decision matrix tool is also challenged by the communication confusion amid and across initiatives and functions of the newly contracted IT supplier. Participants tend to be strained in too many initiatives thus lowering accuracy of the end decisions.  </w:t>
      </w:r>
    </w:p>
    <w:p w:rsidR="00614D67" w:rsidRPr="0085163D" w:rsidRDefault="00267814" w:rsidP="002A6B93">
      <w:pPr>
        <w:spacing w:line="480" w:lineRule="auto"/>
        <w:ind w:firstLine="720"/>
        <w:jc w:val="center"/>
        <w:rPr>
          <w:rFonts w:ascii="Times New Roman" w:eastAsia="Times New Roman" w:hAnsi="Times New Roman" w:cs="Times New Roman"/>
          <w:b/>
          <w:sz w:val="24"/>
          <w:szCs w:val="24"/>
        </w:rPr>
      </w:pPr>
      <w:r w:rsidRPr="0085163D">
        <w:rPr>
          <w:rFonts w:ascii="Times New Roman" w:eastAsia="Times New Roman" w:hAnsi="Times New Roman" w:cs="Times New Roman"/>
          <w:b/>
          <w:sz w:val="24"/>
          <w:szCs w:val="24"/>
        </w:rPr>
        <w:t xml:space="preserve">The </w:t>
      </w:r>
      <w:r w:rsidR="002A6B93" w:rsidRPr="0085163D">
        <w:rPr>
          <w:rFonts w:ascii="Times New Roman" w:eastAsia="Times New Roman" w:hAnsi="Times New Roman" w:cs="Times New Roman"/>
          <w:b/>
          <w:sz w:val="24"/>
          <w:szCs w:val="24"/>
        </w:rPr>
        <w:t>Possible O</w:t>
      </w:r>
      <w:r w:rsidRPr="0085163D">
        <w:rPr>
          <w:rFonts w:ascii="Times New Roman" w:eastAsia="Times New Roman" w:hAnsi="Times New Roman" w:cs="Times New Roman"/>
          <w:b/>
          <w:sz w:val="24"/>
          <w:szCs w:val="24"/>
        </w:rPr>
        <w:t>utcomes.</w:t>
      </w:r>
    </w:p>
    <w:p w:rsidR="001F70D6" w:rsidRPr="002A6B93" w:rsidRDefault="00267814" w:rsidP="0085163D">
      <w:pPr>
        <w:spacing w:line="480" w:lineRule="auto"/>
        <w:ind w:firstLine="720"/>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T</w:t>
      </w:r>
      <w:r w:rsidR="00EB700C" w:rsidRPr="002A6B93">
        <w:rPr>
          <w:rFonts w:ascii="Times New Roman" w:eastAsia="Times New Roman" w:hAnsi="Times New Roman" w:cs="Times New Roman"/>
          <w:sz w:val="24"/>
          <w:szCs w:val="24"/>
        </w:rPr>
        <w:t>he potential outcomes in relation to this model are that the decision matrix tool will end up giving the most qualified and compliant IT supplier. More importantly, the matrix tool will end up offering the most accurate terms of the contract while including price, contract duration, service, support, expertise, and training.</w:t>
      </w:r>
      <w:bookmarkStart w:id="0" w:name="_GoBack"/>
      <w:bookmarkEnd w:id="0"/>
    </w:p>
    <w:p w:rsidR="001F70D6" w:rsidRPr="002A6B93" w:rsidRDefault="001F70D6" w:rsidP="002A6B93">
      <w:pPr>
        <w:spacing w:line="480" w:lineRule="auto"/>
        <w:ind w:firstLine="720"/>
        <w:rPr>
          <w:rFonts w:ascii="Times New Roman" w:eastAsia="Times New Roman" w:hAnsi="Times New Roman" w:cs="Times New Roman"/>
          <w:sz w:val="24"/>
          <w:szCs w:val="24"/>
        </w:rPr>
      </w:pPr>
    </w:p>
    <w:p w:rsidR="00E33D73" w:rsidRPr="002A6B93" w:rsidRDefault="00E33D73" w:rsidP="002A6B93">
      <w:pPr>
        <w:spacing w:line="480" w:lineRule="auto"/>
        <w:ind w:firstLine="720"/>
        <w:jc w:val="center"/>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lastRenderedPageBreak/>
        <w:t>References.</w:t>
      </w:r>
    </w:p>
    <w:p w:rsidR="00FC02A3" w:rsidRPr="002A6B93" w:rsidRDefault="00FC02A3" w:rsidP="002A6B93">
      <w:pPr>
        <w:spacing w:after="0" w:line="480" w:lineRule="auto"/>
        <w:ind w:left="720" w:hanging="720"/>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Del Campo, C., Pauser, S., Steiner, E., &amp; Vetschera, R. (2016). Decision making styles and the use of heuristics in decision making. Journal of Business Economics. 86(4), 389-412. </w:t>
      </w:r>
    </w:p>
    <w:p w:rsidR="00FC02A3" w:rsidRPr="002A6B93" w:rsidRDefault="00FC02A3" w:rsidP="002A6B93">
      <w:pPr>
        <w:spacing w:after="0" w:line="480" w:lineRule="auto"/>
        <w:ind w:left="720" w:hanging="720"/>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 xml:space="preserve">Mousavi, S., &amp; Gigerenzer, G. (2016). Heuristics are tools for uncertainty. Homo Oeconomicus. 34(4), 361–379. Retrieved from https://link.springer.com/article/10.1007%2Fs41412-017-0058-z Recommended </w:t>
      </w:r>
    </w:p>
    <w:p w:rsidR="00FC02A3" w:rsidRPr="002A6B93" w:rsidRDefault="00FC02A3" w:rsidP="002A6B93">
      <w:pPr>
        <w:spacing w:after="0" w:line="480" w:lineRule="auto"/>
        <w:ind w:left="720" w:hanging="720"/>
        <w:rPr>
          <w:rFonts w:ascii="Times New Roman" w:eastAsia="Times New Roman" w:hAnsi="Times New Roman" w:cs="Times New Roman"/>
          <w:sz w:val="24"/>
          <w:szCs w:val="24"/>
        </w:rPr>
      </w:pPr>
      <w:r w:rsidRPr="002A6B93">
        <w:rPr>
          <w:rFonts w:ascii="Times New Roman" w:eastAsia="Times New Roman" w:hAnsi="Times New Roman" w:cs="Times New Roman"/>
          <w:sz w:val="24"/>
          <w:szCs w:val="24"/>
        </w:rPr>
        <w:t>To, C., Kin-Man, Y., Rachel W., Mok, P., Chau, K., Wong, M., &amp; Cheung, N. (2018). Collaboration reasoning or social heuristics? Value proposition validity in omnium-gatherum business models. Journal of Business Research. 88, 550-559</w:t>
      </w:r>
      <w:r w:rsidR="0042429E" w:rsidRPr="002A6B93">
        <w:rPr>
          <w:rFonts w:ascii="Times New Roman" w:eastAsia="Times New Roman" w:hAnsi="Times New Roman" w:cs="Times New Roman"/>
          <w:sz w:val="24"/>
          <w:szCs w:val="24"/>
        </w:rPr>
        <w:t>.</w:t>
      </w:r>
    </w:p>
    <w:p w:rsidR="00E33D73" w:rsidRPr="002A6B93" w:rsidRDefault="00E33D73" w:rsidP="002A6B93">
      <w:pPr>
        <w:spacing w:line="480" w:lineRule="auto"/>
        <w:rPr>
          <w:rFonts w:ascii="Times New Roman" w:eastAsia="Times New Roman" w:hAnsi="Times New Roman" w:cs="Times New Roman"/>
          <w:sz w:val="24"/>
          <w:szCs w:val="24"/>
        </w:rPr>
      </w:pPr>
    </w:p>
    <w:sectPr w:rsidR="00E33D73" w:rsidRPr="002A6B93" w:rsidSect="00B85E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4D6" w:rsidRDefault="001524D6" w:rsidP="00B85E3E">
      <w:pPr>
        <w:spacing w:after="0" w:line="240" w:lineRule="auto"/>
      </w:pPr>
      <w:r>
        <w:separator/>
      </w:r>
    </w:p>
  </w:endnote>
  <w:endnote w:type="continuationSeparator" w:id="1">
    <w:p w:rsidR="001524D6" w:rsidRDefault="001524D6" w:rsidP="00B85E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4D6" w:rsidRDefault="001524D6" w:rsidP="00B85E3E">
      <w:pPr>
        <w:spacing w:after="0" w:line="240" w:lineRule="auto"/>
      </w:pPr>
      <w:r>
        <w:separator/>
      </w:r>
    </w:p>
  </w:footnote>
  <w:footnote w:type="continuationSeparator" w:id="1">
    <w:p w:rsidR="001524D6" w:rsidRDefault="001524D6" w:rsidP="00B85E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B4" w:rsidRPr="000545B4" w:rsidRDefault="000545B4">
    <w:pPr>
      <w:pStyle w:val="Header"/>
      <w:rPr>
        <w:rFonts w:ascii="Times New Roman" w:hAnsi="Times New Roman" w:cs="Times New Roman"/>
        <w:sz w:val="24"/>
        <w:szCs w:val="24"/>
      </w:rPr>
    </w:pPr>
    <w:r w:rsidRPr="000545B4">
      <w:rPr>
        <w:rFonts w:ascii="Times New Roman" w:eastAsia="Times New Roman" w:hAnsi="Times New Roman" w:cs="Times New Roman"/>
        <w:sz w:val="24"/>
        <w:szCs w:val="24"/>
      </w:rPr>
      <w:t>DECISION-MAKING MATRIX.</w:t>
    </w:r>
    <w:r w:rsidRPr="000545B4">
      <w:rPr>
        <w:rFonts w:ascii="Times New Roman" w:eastAsia="Times New Roman" w:hAnsi="Times New Roman" w:cs="Times New Roman"/>
        <w:sz w:val="24"/>
        <w:szCs w:val="24"/>
      </w:rPr>
      <w:tab/>
    </w:r>
    <w:r w:rsidRPr="000545B4">
      <w:rPr>
        <w:rFonts w:ascii="Times New Roman" w:eastAsia="Times New Roman" w:hAnsi="Times New Roman" w:cs="Times New Roman"/>
        <w:sz w:val="24"/>
        <w:szCs w:val="24"/>
      </w:rPr>
      <w:tab/>
    </w:r>
    <w:sdt>
      <w:sdtPr>
        <w:rPr>
          <w:rFonts w:ascii="Times New Roman" w:hAnsi="Times New Roman" w:cs="Times New Roman"/>
          <w:sz w:val="24"/>
          <w:szCs w:val="24"/>
        </w:rPr>
        <w:id w:val="-1509755834"/>
        <w:docPartObj>
          <w:docPartGallery w:val="Page Numbers (Top of Page)"/>
          <w:docPartUnique/>
        </w:docPartObj>
      </w:sdtPr>
      <w:sdtEndPr>
        <w:rPr>
          <w:noProof/>
        </w:rPr>
      </w:sdtEndPr>
      <w:sdtContent>
        <w:r w:rsidR="009C709C" w:rsidRPr="000545B4">
          <w:rPr>
            <w:rFonts w:ascii="Times New Roman" w:hAnsi="Times New Roman" w:cs="Times New Roman"/>
            <w:sz w:val="24"/>
            <w:szCs w:val="24"/>
          </w:rPr>
          <w:fldChar w:fldCharType="begin"/>
        </w:r>
        <w:r w:rsidRPr="000545B4">
          <w:rPr>
            <w:rFonts w:ascii="Times New Roman" w:hAnsi="Times New Roman" w:cs="Times New Roman"/>
            <w:sz w:val="24"/>
            <w:szCs w:val="24"/>
          </w:rPr>
          <w:instrText xml:space="preserve"> PAGE   \* MERGEFORMAT </w:instrText>
        </w:r>
        <w:r w:rsidR="009C709C" w:rsidRPr="000545B4">
          <w:rPr>
            <w:rFonts w:ascii="Times New Roman" w:hAnsi="Times New Roman" w:cs="Times New Roman"/>
            <w:sz w:val="24"/>
            <w:szCs w:val="24"/>
          </w:rPr>
          <w:fldChar w:fldCharType="separate"/>
        </w:r>
        <w:r w:rsidR="00AA45CC">
          <w:rPr>
            <w:rFonts w:ascii="Times New Roman" w:hAnsi="Times New Roman" w:cs="Times New Roman"/>
            <w:noProof/>
            <w:sz w:val="24"/>
            <w:szCs w:val="24"/>
          </w:rPr>
          <w:t>4</w:t>
        </w:r>
        <w:r w:rsidR="009C709C" w:rsidRPr="000545B4">
          <w:rPr>
            <w:rFonts w:ascii="Times New Roman" w:hAnsi="Times New Roman" w:cs="Times New Roman"/>
            <w:noProof/>
            <w:sz w:val="24"/>
            <w:szCs w:val="24"/>
          </w:rPr>
          <w:fldChar w:fldCharType="end"/>
        </w:r>
      </w:sdtContent>
    </w:sdt>
  </w:p>
  <w:p w:rsidR="000545B4" w:rsidRPr="000545B4" w:rsidRDefault="000545B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3E" w:rsidRPr="00B85E3E" w:rsidRDefault="00B85E3E">
    <w:pPr>
      <w:pStyle w:val="Header"/>
      <w:rPr>
        <w:rFonts w:ascii="Times New Roman" w:hAnsi="Times New Roman" w:cs="Times New Roman"/>
        <w:sz w:val="24"/>
        <w:szCs w:val="24"/>
      </w:rPr>
    </w:pPr>
    <w:r w:rsidRPr="00B85E3E">
      <w:rPr>
        <w:rFonts w:ascii="Times New Roman" w:hAnsi="Times New Roman" w:cs="Times New Roman"/>
        <w:sz w:val="24"/>
        <w:szCs w:val="24"/>
      </w:rPr>
      <w:t xml:space="preserve">Running Head: </w:t>
    </w:r>
    <w:r w:rsidRPr="00B85E3E">
      <w:rPr>
        <w:rFonts w:ascii="Times New Roman" w:eastAsia="Times New Roman" w:hAnsi="Times New Roman" w:cs="Times New Roman"/>
        <w:sz w:val="24"/>
        <w:szCs w:val="24"/>
      </w:rPr>
      <w:t>DECISION-MAKING MATRIX.</w:t>
    </w:r>
    <w:sdt>
      <w:sdtPr>
        <w:rPr>
          <w:rFonts w:ascii="Times New Roman" w:hAnsi="Times New Roman" w:cs="Times New Roman"/>
          <w:sz w:val="24"/>
          <w:szCs w:val="24"/>
        </w:rPr>
        <w:id w:val="2102142385"/>
        <w:docPartObj>
          <w:docPartGallery w:val="Page Numbers (Top of Page)"/>
          <w:docPartUnique/>
        </w:docPartObj>
      </w:sdtPr>
      <w:sdtEndPr>
        <w:rPr>
          <w:noProof/>
        </w:rPr>
      </w:sdtEndPr>
      <w:sdtContent>
        <w:r w:rsidRPr="00B85E3E">
          <w:rPr>
            <w:rFonts w:ascii="Times New Roman" w:hAnsi="Times New Roman" w:cs="Times New Roman"/>
            <w:sz w:val="24"/>
            <w:szCs w:val="24"/>
          </w:rPr>
          <w:tab/>
        </w:r>
        <w:r w:rsidR="009C709C" w:rsidRPr="00B85E3E">
          <w:rPr>
            <w:rFonts w:ascii="Times New Roman" w:hAnsi="Times New Roman" w:cs="Times New Roman"/>
            <w:sz w:val="24"/>
            <w:szCs w:val="24"/>
          </w:rPr>
          <w:fldChar w:fldCharType="begin"/>
        </w:r>
        <w:r w:rsidRPr="00B85E3E">
          <w:rPr>
            <w:rFonts w:ascii="Times New Roman" w:hAnsi="Times New Roman" w:cs="Times New Roman"/>
            <w:sz w:val="24"/>
            <w:szCs w:val="24"/>
          </w:rPr>
          <w:instrText xml:space="preserve"> PAGE   \* MERGEFORMAT </w:instrText>
        </w:r>
        <w:r w:rsidR="009C709C" w:rsidRPr="00B85E3E">
          <w:rPr>
            <w:rFonts w:ascii="Times New Roman" w:hAnsi="Times New Roman" w:cs="Times New Roman"/>
            <w:sz w:val="24"/>
            <w:szCs w:val="24"/>
          </w:rPr>
          <w:fldChar w:fldCharType="separate"/>
        </w:r>
        <w:r w:rsidR="00AA45CC">
          <w:rPr>
            <w:rFonts w:ascii="Times New Roman" w:hAnsi="Times New Roman" w:cs="Times New Roman"/>
            <w:noProof/>
            <w:sz w:val="24"/>
            <w:szCs w:val="24"/>
          </w:rPr>
          <w:t>1</w:t>
        </w:r>
        <w:r w:rsidR="009C709C" w:rsidRPr="00B85E3E">
          <w:rPr>
            <w:rFonts w:ascii="Times New Roman" w:hAnsi="Times New Roman" w:cs="Times New Roman"/>
            <w:noProof/>
            <w:sz w:val="24"/>
            <w:szCs w:val="24"/>
          </w:rPr>
          <w:fldChar w:fldCharType="end"/>
        </w:r>
      </w:sdtContent>
    </w:sdt>
  </w:p>
  <w:p w:rsidR="00B85E3E" w:rsidRPr="00B85E3E" w:rsidRDefault="00B85E3E">
    <w:pPr>
      <w:pStyle w:val="Header"/>
      <w:rPr>
        <w:rFonts w:ascii="Times New Roman" w:hAnsi="Times New Roman" w:cs="Times New Roman"/>
        <w:sz w:val="24"/>
        <w:szCs w:val="24"/>
      </w:rPr>
    </w:pPr>
  </w:p>
  <w:p w:rsidR="00B85E3E" w:rsidRDefault="00B85E3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0E6F6A"/>
    <w:rsid w:val="00030297"/>
    <w:rsid w:val="000545B4"/>
    <w:rsid w:val="000D62B0"/>
    <w:rsid w:val="000E6F6A"/>
    <w:rsid w:val="000F503A"/>
    <w:rsid w:val="00100EB2"/>
    <w:rsid w:val="001524D6"/>
    <w:rsid w:val="001C056C"/>
    <w:rsid w:val="001D3B49"/>
    <w:rsid w:val="001D6EFF"/>
    <w:rsid w:val="001F70D6"/>
    <w:rsid w:val="00212837"/>
    <w:rsid w:val="002430FF"/>
    <w:rsid w:val="00267814"/>
    <w:rsid w:val="002A2249"/>
    <w:rsid w:val="002A6B93"/>
    <w:rsid w:val="00376987"/>
    <w:rsid w:val="00411D3A"/>
    <w:rsid w:val="0042429E"/>
    <w:rsid w:val="005128D9"/>
    <w:rsid w:val="005E09B9"/>
    <w:rsid w:val="005F118F"/>
    <w:rsid w:val="00603BCC"/>
    <w:rsid w:val="00614D67"/>
    <w:rsid w:val="006440DB"/>
    <w:rsid w:val="007361E2"/>
    <w:rsid w:val="00770BB7"/>
    <w:rsid w:val="008262DB"/>
    <w:rsid w:val="00830607"/>
    <w:rsid w:val="00833905"/>
    <w:rsid w:val="008340FC"/>
    <w:rsid w:val="00840B37"/>
    <w:rsid w:val="0085163D"/>
    <w:rsid w:val="008F6819"/>
    <w:rsid w:val="00913DC7"/>
    <w:rsid w:val="00987DC3"/>
    <w:rsid w:val="009C5FA6"/>
    <w:rsid w:val="009C709C"/>
    <w:rsid w:val="00A95365"/>
    <w:rsid w:val="00AA45CC"/>
    <w:rsid w:val="00B85E3E"/>
    <w:rsid w:val="00BC077D"/>
    <w:rsid w:val="00BF4955"/>
    <w:rsid w:val="00C64DD1"/>
    <w:rsid w:val="00CA1539"/>
    <w:rsid w:val="00CA1BAE"/>
    <w:rsid w:val="00CB63F5"/>
    <w:rsid w:val="00D800B8"/>
    <w:rsid w:val="00DB0712"/>
    <w:rsid w:val="00DB3886"/>
    <w:rsid w:val="00DC6C90"/>
    <w:rsid w:val="00E33D73"/>
    <w:rsid w:val="00EB700C"/>
    <w:rsid w:val="00F1014C"/>
    <w:rsid w:val="00F6238B"/>
    <w:rsid w:val="00F86643"/>
    <w:rsid w:val="00FC02A3"/>
    <w:rsid w:val="00FD0E66"/>
    <w:rsid w:val="00FE2364"/>
    <w:rsid w:val="00FE44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0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E3E"/>
  </w:style>
  <w:style w:type="paragraph" w:styleId="Footer">
    <w:name w:val="footer"/>
    <w:basedOn w:val="Normal"/>
    <w:link w:val="FooterChar"/>
    <w:uiPriority w:val="99"/>
    <w:unhideWhenUsed/>
    <w:rsid w:val="00B85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E3E"/>
  </w:style>
  <w:style w:type="table" w:styleId="TableGrid">
    <w:name w:val="Table Grid"/>
    <w:basedOn w:val="TableNormal"/>
    <w:uiPriority w:val="39"/>
    <w:rsid w:val="00FE23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2019-01-22T07:28:00Z</dcterms:created>
  <dcterms:modified xsi:type="dcterms:W3CDTF">2019-01-22T07:28:00Z</dcterms:modified>
</cp:coreProperties>
</file>